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b/>
          <w:bCs/>
          <w:sz w:val="48"/>
          <w:szCs w:val="48"/>
          <w:u w:val="single"/>
        </w:rPr>
        <w:t>3.9/4.0 Differences</w:t>
      </w:r>
      <w:r w:rsidRPr="00025F59">
        <w:rPr>
          <w:rFonts w:ascii="Times New Roman" w:eastAsia="Times New Roman" w:hAnsi="Times New Roman" w:cs="Times New Roman"/>
          <w:sz w:val="48"/>
          <w:szCs w:val="48"/>
        </w:rPr>
        <w:t xml:space="preserve"> </w:t>
      </w:r>
      <w:r w:rsidRPr="00025F59">
        <w:rPr>
          <w:rFonts w:ascii="Times New Roman" w:eastAsia="Times New Roman" w:hAnsi="Times New Roman" w:cs="Times New Roman"/>
          <w:sz w:val="27"/>
          <w:szCs w:val="27"/>
        </w:rPr>
        <w:t xml:space="preserve">(see </w:t>
      </w:r>
      <w:hyperlink r:id="rId4" w:anchor="BUICK" w:history="1">
        <w:r w:rsidRPr="00025F59">
          <w:rPr>
            <w:rFonts w:ascii="Times New Roman" w:eastAsia="Times New Roman" w:hAnsi="Times New Roman" w:cs="Times New Roman"/>
            <w:color w:val="0000FF"/>
            <w:sz w:val="27"/>
            <w:szCs w:val="27"/>
            <w:u w:val="single"/>
          </w:rPr>
          <w:t>below</w:t>
        </w:r>
      </w:hyperlink>
      <w:r w:rsidRPr="00025F59">
        <w:rPr>
          <w:rFonts w:ascii="Times New Roman" w:eastAsia="Times New Roman" w:hAnsi="Times New Roman" w:cs="Times New Roman"/>
          <w:sz w:val="27"/>
          <w:szCs w:val="27"/>
        </w:rPr>
        <w:t xml:space="preserve"> for Buick/3.5/4.0/4.6 differences)</w:t>
      </w:r>
      <w:r w:rsidRPr="00025F59">
        <w:rPr>
          <w:rFonts w:ascii="Times New Roman" w:eastAsia="Times New Roman" w:hAnsi="Times New Roman" w:cs="Times New Roman"/>
          <w:sz w:val="24"/>
          <w:szCs w:val="24"/>
        </w:rPr>
        <w:t xml:space="preserve"> </w:t>
      </w:r>
      <w:r w:rsidRPr="00025F59">
        <w:rPr>
          <w:rFonts w:ascii="Times New Roman" w:eastAsia="Times New Roman" w:hAnsi="Times New Roman" w:cs="Times New Roman"/>
          <w:sz w:val="24"/>
          <w:szCs w:val="24"/>
        </w:rPr>
        <w:br/>
      </w:r>
      <w:r w:rsidRPr="00025F59">
        <w:rPr>
          <w:rFonts w:ascii="Times New Roman" w:eastAsia="Times New Roman" w:hAnsi="Times New Roman" w:cs="Times New Roman"/>
          <w:b/>
          <w:bCs/>
          <w:i/>
          <w:iCs/>
          <w:sz w:val="27"/>
          <w:szCs w:val="27"/>
        </w:rPr>
        <w:t>by Lorne Goldman</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b/>
          <w:bCs/>
          <w:sz w:val="27"/>
          <w:szCs w:val="27"/>
        </w:rPr>
        <w:t xml:space="preserve">What is the difference between a 3.9 </w:t>
      </w:r>
      <w:proofErr w:type="gramStart"/>
      <w:r w:rsidRPr="00025F59">
        <w:rPr>
          <w:rFonts w:ascii="Times New Roman" w:eastAsia="Times New Roman" w:hAnsi="Times New Roman" w:cs="Times New Roman"/>
          <w:b/>
          <w:bCs/>
          <w:sz w:val="27"/>
          <w:szCs w:val="27"/>
        </w:rPr>
        <w:t>or</w:t>
      </w:r>
      <w:proofErr w:type="gramEnd"/>
      <w:r w:rsidRPr="00025F59">
        <w:rPr>
          <w:rFonts w:ascii="Times New Roman" w:eastAsia="Times New Roman" w:hAnsi="Times New Roman" w:cs="Times New Roman"/>
          <w:b/>
          <w:bCs/>
          <w:sz w:val="27"/>
          <w:szCs w:val="27"/>
        </w:rPr>
        <w:t xml:space="preserve"> 4.0 liter engine? Both have a bore of 94.0 mm and a stroke of 71.1 mm.</w:t>
      </w:r>
      <w:r w:rsidRPr="00025F59">
        <w:rPr>
          <w:rFonts w:ascii="Times New Roman" w:eastAsia="Times New Roman" w:hAnsi="Times New Roman" w:cs="Times New Roman"/>
          <w:sz w:val="24"/>
          <w:szCs w:val="24"/>
        </w:rPr>
        <w:t xml:space="preserve"> </w:t>
      </w:r>
      <w:r w:rsidRPr="00025F59">
        <w:rPr>
          <w:rFonts w:ascii="Times New Roman" w:eastAsia="Times New Roman" w:hAnsi="Times New Roman" w:cs="Times New Roman"/>
          <w:sz w:val="24"/>
          <w:szCs w:val="24"/>
        </w:rPr>
        <w:br/>
      </w:r>
      <w:proofErr w:type="gramStart"/>
      <w:r w:rsidRPr="00025F59">
        <w:rPr>
          <w:rFonts w:ascii="Times New Roman" w:eastAsia="Times New Roman" w:hAnsi="Times New Roman" w:cs="Times New Roman"/>
          <w:b/>
          <w:bCs/>
          <w:sz w:val="27"/>
          <w:szCs w:val="27"/>
        </w:rPr>
        <w:t>There</w:t>
      </w:r>
      <w:proofErr w:type="gramEnd"/>
      <w:r w:rsidRPr="00025F59">
        <w:rPr>
          <w:rFonts w:ascii="Times New Roman" w:eastAsia="Times New Roman" w:hAnsi="Times New Roman" w:cs="Times New Roman"/>
          <w:b/>
          <w:bCs/>
          <w:sz w:val="27"/>
          <w:szCs w:val="27"/>
        </w:rPr>
        <w:t xml:space="preserve"> seems to be no difference in capacity at all!</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The differences are:</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 The 3.9 has the provisions like the 4.0/4.6 liter for the </w:t>
      </w:r>
      <w:proofErr w:type="spellStart"/>
      <w:r w:rsidRPr="00025F59">
        <w:rPr>
          <w:rFonts w:ascii="Times New Roman" w:eastAsia="Times New Roman" w:hAnsi="Times New Roman" w:cs="Times New Roman"/>
          <w:sz w:val="27"/>
          <w:szCs w:val="27"/>
        </w:rPr>
        <w:t>crossbolts</w:t>
      </w:r>
      <w:proofErr w:type="spellEnd"/>
      <w:r w:rsidRPr="00025F59">
        <w:rPr>
          <w:rFonts w:ascii="Times New Roman" w:eastAsia="Times New Roman" w:hAnsi="Times New Roman" w:cs="Times New Roman"/>
          <w:sz w:val="27"/>
          <w:szCs w:val="27"/>
        </w:rPr>
        <w:t xml:space="preserve"> but they have not been drilled.</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The 3.9 has the smaller main journals from the 3.5</w:t>
      </w:r>
      <w:proofErr w:type="gramStart"/>
      <w:r w:rsidRPr="00025F59">
        <w:rPr>
          <w:rFonts w:ascii="Times New Roman" w:eastAsia="Times New Roman" w:hAnsi="Times New Roman" w:cs="Times New Roman"/>
          <w:sz w:val="27"/>
          <w:szCs w:val="27"/>
        </w:rPr>
        <w:t>  while</w:t>
      </w:r>
      <w:proofErr w:type="gramEnd"/>
      <w:r w:rsidRPr="00025F59">
        <w:rPr>
          <w:rFonts w:ascii="Times New Roman" w:eastAsia="Times New Roman" w:hAnsi="Times New Roman" w:cs="Times New Roman"/>
          <w:sz w:val="27"/>
          <w:szCs w:val="27"/>
        </w:rPr>
        <w:t xml:space="preserve"> the 4.0 version has the same journals as the  4.6 liter.</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The 4.0 crank has a longer nose.</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 The 3.9 has the concentric oil pump but coupled with standard distributor the 4.0 has a </w:t>
      </w:r>
      <w:proofErr w:type="spellStart"/>
      <w:r w:rsidRPr="00025F59">
        <w:rPr>
          <w:rFonts w:ascii="Times New Roman" w:eastAsia="Times New Roman" w:hAnsi="Times New Roman" w:cs="Times New Roman"/>
          <w:sz w:val="27"/>
          <w:szCs w:val="27"/>
        </w:rPr>
        <w:t>distributorless</w:t>
      </w:r>
      <w:proofErr w:type="spellEnd"/>
      <w:r w:rsidRPr="00025F59">
        <w:rPr>
          <w:rFonts w:ascii="Times New Roman" w:eastAsia="Times New Roman" w:hAnsi="Times New Roman" w:cs="Times New Roman"/>
          <w:sz w:val="27"/>
          <w:szCs w:val="27"/>
        </w:rPr>
        <w:t xml:space="preserve"> system and thus no hole for a distributor.</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The 4.0 uses longer rods, lighter and shorter pistons.</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 The 3.9 had the 14CUX 'hotwire' fuel injection. The 4.0 has the Lucas 'GEMS' engine management system (latest see Bosch 5.2.1 </w:t>
      </w:r>
      <w:proofErr w:type="spellStart"/>
      <w:r w:rsidRPr="00025F59">
        <w:rPr>
          <w:rFonts w:ascii="Times New Roman" w:eastAsia="Times New Roman" w:hAnsi="Times New Roman" w:cs="Times New Roman"/>
          <w:sz w:val="27"/>
          <w:szCs w:val="27"/>
        </w:rPr>
        <w:t>Motronic</w:t>
      </w:r>
      <w:proofErr w:type="spellEnd"/>
      <w:r w:rsidRPr="00025F59">
        <w:rPr>
          <w:rFonts w:ascii="Times New Roman" w:eastAsia="Times New Roman" w:hAnsi="Times New Roman" w:cs="Times New Roman"/>
          <w:sz w:val="27"/>
          <w:szCs w:val="27"/>
        </w:rPr>
        <w:t>)</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Because of the way the fueling and ignition is set up,</w:t>
      </w:r>
      <w:proofErr w:type="gramStart"/>
      <w:r w:rsidRPr="00025F59">
        <w:rPr>
          <w:rFonts w:ascii="Times New Roman" w:eastAsia="Times New Roman" w:hAnsi="Times New Roman" w:cs="Times New Roman"/>
          <w:sz w:val="27"/>
          <w:szCs w:val="27"/>
        </w:rPr>
        <w:t>  the</w:t>
      </w:r>
      <w:proofErr w:type="gramEnd"/>
      <w:r w:rsidRPr="00025F59">
        <w:rPr>
          <w:rFonts w:ascii="Times New Roman" w:eastAsia="Times New Roman" w:hAnsi="Times New Roman" w:cs="Times New Roman"/>
          <w:sz w:val="27"/>
          <w:szCs w:val="27"/>
        </w:rPr>
        <w:t xml:space="preserve"> 4.0 has knock sensors and the 3.9 does not.</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 </w:t>
      </w:r>
      <w:proofErr w:type="gramStart"/>
      <w:r w:rsidRPr="00025F59">
        <w:rPr>
          <w:rFonts w:ascii="Times New Roman" w:eastAsia="Times New Roman" w:hAnsi="Times New Roman" w:cs="Times New Roman"/>
          <w:sz w:val="27"/>
          <w:szCs w:val="27"/>
        </w:rPr>
        <w:t>the</w:t>
      </w:r>
      <w:proofErr w:type="gramEnd"/>
      <w:r w:rsidRPr="00025F59">
        <w:rPr>
          <w:rFonts w:ascii="Times New Roman" w:eastAsia="Times New Roman" w:hAnsi="Times New Roman" w:cs="Times New Roman"/>
          <w:sz w:val="27"/>
          <w:szCs w:val="27"/>
        </w:rPr>
        <w:t xml:space="preserve"> 4.0 puts out 186.4 </w:t>
      </w:r>
      <w:proofErr w:type="spellStart"/>
      <w:r w:rsidRPr="00025F59">
        <w:rPr>
          <w:rFonts w:ascii="Times New Roman" w:eastAsia="Times New Roman" w:hAnsi="Times New Roman" w:cs="Times New Roman"/>
          <w:sz w:val="27"/>
          <w:szCs w:val="27"/>
        </w:rPr>
        <w:t>bhp</w:t>
      </w:r>
      <w:proofErr w:type="spellEnd"/>
      <w:r w:rsidRPr="00025F59">
        <w:rPr>
          <w:rFonts w:ascii="Times New Roman" w:eastAsia="Times New Roman" w:hAnsi="Times New Roman" w:cs="Times New Roman"/>
          <w:sz w:val="27"/>
          <w:szCs w:val="27"/>
        </w:rPr>
        <w:t xml:space="preserve"> and the 3.9 puts out 190.4 </w:t>
      </w:r>
      <w:proofErr w:type="spellStart"/>
      <w:r w:rsidRPr="00025F59">
        <w:rPr>
          <w:rFonts w:ascii="Times New Roman" w:eastAsia="Times New Roman" w:hAnsi="Times New Roman" w:cs="Times New Roman"/>
          <w:sz w:val="27"/>
          <w:szCs w:val="27"/>
        </w:rPr>
        <w:t>bhp</w:t>
      </w:r>
      <w:proofErr w:type="spellEnd"/>
      <w:r w:rsidRPr="00025F59">
        <w:rPr>
          <w:rFonts w:ascii="Times New Roman" w:eastAsia="Times New Roman" w:hAnsi="Times New Roman" w:cs="Times New Roman"/>
          <w:sz w:val="27"/>
          <w:szCs w:val="27"/>
        </w:rPr>
        <w:t>.</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If you know of other differences please send them in to keep the page current.</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bookmarkStart w:id="0" w:name="BUICK"/>
      <w:bookmarkEnd w:id="0"/>
      <w:r w:rsidRPr="00025F59">
        <w:rPr>
          <w:rFonts w:ascii="Times New Roman" w:eastAsia="Times New Roman" w:hAnsi="Times New Roman" w:cs="Times New Roman"/>
          <w:b/>
          <w:bCs/>
          <w:sz w:val="36"/>
          <w:szCs w:val="36"/>
        </w:rPr>
        <w:t>BUICK 215/ROVER 3.5 AND THE LAND ROVER 4.0/4.6 ENGINES</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DIFFERENCES</w:t>
      </w:r>
      <w:r w:rsidRPr="00025F59">
        <w:rPr>
          <w:rFonts w:ascii="Times New Roman" w:eastAsia="Times New Roman" w:hAnsi="Times New Roman" w:cs="Times New Roman"/>
          <w:sz w:val="24"/>
          <w:szCs w:val="24"/>
        </w:rPr>
        <w:t xml:space="preserve"> </w:t>
      </w:r>
      <w:r w:rsidRPr="00025F59">
        <w:rPr>
          <w:rFonts w:ascii="Times New Roman" w:eastAsia="Times New Roman" w:hAnsi="Times New Roman" w:cs="Times New Roman"/>
          <w:sz w:val="24"/>
          <w:szCs w:val="24"/>
        </w:rPr>
        <w:br/>
        <w:t xml:space="preserve">  </w:t>
      </w:r>
    </w:p>
    <w:tbl>
      <w:tblPr>
        <w:tblW w:w="5000" w:type="pct"/>
        <w:jc w:val="center"/>
        <w:tblCellSpacing w:w="22" w:type="dxa"/>
        <w:tblBorders>
          <w:top w:val="outset" w:sz="12" w:space="0" w:color="auto"/>
          <w:left w:val="outset" w:sz="12" w:space="0" w:color="auto"/>
          <w:bottom w:val="outset" w:sz="12" w:space="0" w:color="auto"/>
          <w:right w:val="outset" w:sz="12" w:space="0" w:color="auto"/>
        </w:tblBorders>
        <w:tblCellMar>
          <w:top w:w="45" w:type="dxa"/>
          <w:left w:w="45" w:type="dxa"/>
          <w:bottom w:w="45" w:type="dxa"/>
          <w:right w:w="45" w:type="dxa"/>
        </w:tblCellMar>
        <w:tblLook w:val="04A0" w:firstRow="1" w:lastRow="0" w:firstColumn="1" w:lastColumn="0" w:noHBand="0" w:noVBand="1"/>
      </w:tblPr>
      <w:tblGrid>
        <w:gridCol w:w="389"/>
        <w:gridCol w:w="8955"/>
      </w:tblGrid>
      <w:tr w:rsidR="00025F59" w:rsidRPr="00025F59" w:rsidTr="00025F59">
        <w:trPr>
          <w:tblCellSpacing w:w="22"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The 4.0/4.6 crankshafts are also longer to drive the new oil pump</w:t>
            </w:r>
          </w:p>
        </w:tc>
      </w:tr>
      <w:tr w:rsidR="00025F59" w:rsidRPr="00025F59" w:rsidTr="00025F59">
        <w:trPr>
          <w:tblCellSpacing w:w="22"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lastRenderedPageBreak/>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A new connecting rod design was used for the 4.0/4.6. They are made from forged steel and now have balance pads on both the small and big ends; the screw-in bolts retaining the caps are of a more robust design and are manufactured to extremely fine tolerances. The 4.0-liter engine uses a rod 1 55.2 mm in length, and the 4.6-liter is 149.7 mm with a55.5 mm big end bearing diameter, the older version having a 50.8 mm big end bearing. The increase in length was done to reduce the angularity of the rods in the engine, thus reducing vibration. The small end size has been increased from 22.2 mm to 24mm. </w:t>
            </w:r>
          </w:p>
        </w:tc>
      </w:tr>
      <w:tr w:rsidR="00025F59" w:rsidRPr="00025F59" w:rsidTr="00025F59">
        <w:trPr>
          <w:tblCellSpacing w:w="22"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The pistons are also new and are a common design between the 4.0 and 4.6-liter engines. The capacity of the bowl in the piston crown varies slightly between the two engines (4.0-liter, 13.23 ccl4. 6-litrr, 22.29 cc) to determine the compression ratio. To maintain equality of material thickness on the piston crown they are different castings. Having said that, the compression ratios are the same for both engines --9.35:1 although lower 8.2:1 compression pistons are available. The original 3.5/3.9-litre engines have pistons 80.9 mm long overall, with a compression height (or crown height) of 49.5 mm, while the longer stroke 4.2-litre engine uses a piston 72.85 mm long with a compression height of 45 mm.</w:t>
            </w:r>
          </w:p>
        </w:tc>
      </w:tr>
      <w:tr w:rsidR="00025F59" w:rsidRPr="00025F59" w:rsidTr="00025F59">
        <w:trPr>
          <w:tblCellSpacing w:w="22"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The 4.0/4.6-litre engines have a shorter piston of 66.6 mm, with a compression height of only 35.9 mm.</w:t>
            </w:r>
          </w:p>
        </w:tc>
      </w:tr>
      <w:tr w:rsidR="00025F59" w:rsidRPr="00025F59" w:rsidTr="00025F59">
        <w:trPr>
          <w:tblCellSpacing w:w="22"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The 4.04.6 gudgeon (or wrist) pin diameters have been increased and they also have a gudgeon pin offset. The 4.2-litre engine was the first</w:t>
            </w:r>
            <w:proofErr w:type="gramStart"/>
            <w:r w:rsidRPr="00025F59">
              <w:rPr>
                <w:rFonts w:ascii="Times New Roman" w:eastAsia="Times New Roman" w:hAnsi="Times New Roman" w:cs="Times New Roman"/>
                <w:sz w:val="27"/>
                <w:szCs w:val="27"/>
              </w:rPr>
              <w:t>  production</w:t>
            </w:r>
            <w:proofErr w:type="gramEnd"/>
            <w:r w:rsidRPr="00025F59">
              <w:rPr>
                <w:rFonts w:ascii="Times New Roman" w:eastAsia="Times New Roman" w:hAnsi="Times New Roman" w:cs="Times New Roman"/>
                <w:sz w:val="27"/>
                <w:szCs w:val="27"/>
              </w:rPr>
              <w:t xml:space="preserve"> Rover V8 to use this feature, but on the 4.0/4 6 </w:t>
            </w:r>
            <w:proofErr w:type="spellStart"/>
            <w:r w:rsidRPr="00025F59">
              <w:rPr>
                <w:rFonts w:ascii="Times New Roman" w:eastAsia="Times New Roman" w:hAnsi="Times New Roman" w:cs="Times New Roman"/>
                <w:sz w:val="27"/>
                <w:szCs w:val="27"/>
              </w:rPr>
              <w:t>litre</w:t>
            </w:r>
            <w:proofErr w:type="spellEnd"/>
            <w:r w:rsidRPr="00025F59">
              <w:rPr>
                <w:rFonts w:ascii="Times New Roman" w:eastAsia="Times New Roman" w:hAnsi="Times New Roman" w:cs="Times New Roman"/>
                <w:sz w:val="27"/>
                <w:szCs w:val="27"/>
              </w:rPr>
              <w:t xml:space="preserve"> engines it has been increased from the 0.55 mm of the 4.2-litre to 0.60 mm. The reason for this offset is to produce a slight side loading on the piston at TDC, thus eliminating piston slap all part of the infinite attention to design detail by the Rover engineers in their quest for refinement.</w:t>
            </w:r>
          </w:p>
        </w:tc>
      </w:tr>
      <w:tr w:rsidR="00025F59" w:rsidRPr="00025F59" w:rsidTr="00025F59">
        <w:trPr>
          <w:tblCellSpacing w:w="22"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The 4.0/4.6 cylinder blocks have been made significantly stronger by the addition of stiffening ribs (taken from the Sd1 </w:t>
            </w:r>
            <w:proofErr w:type="spellStart"/>
            <w:r w:rsidRPr="00025F59">
              <w:rPr>
                <w:rFonts w:ascii="Times New Roman" w:eastAsia="Times New Roman" w:hAnsi="Times New Roman" w:cs="Times New Roman"/>
                <w:sz w:val="27"/>
                <w:szCs w:val="27"/>
              </w:rPr>
              <w:t>Vitesse</w:t>
            </w:r>
            <w:proofErr w:type="spellEnd"/>
            <w:r w:rsidRPr="00025F59">
              <w:rPr>
                <w:rFonts w:ascii="Times New Roman" w:eastAsia="Times New Roman" w:hAnsi="Times New Roman" w:cs="Times New Roman"/>
                <w:sz w:val="27"/>
                <w:szCs w:val="27"/>
              </w:rPr>
              <w:t xml:space="preserve">) in key areas (along the block sides near the main bearing webs, for instance) and, more importantly, both 4.0 and 4.6 </w:t>
            </w:r>
            <w:proofErr w:type="spellStart"/>
            <w:r w:rsidRPr="00025F59">
              <w:rPr>
                <w:rFonts w:ascii="Times New Roman" w:eastAsia="Times New Roman" w:hAnsi="Times New Roman" w:cs="Times New Roman"/>
                <w:sz w:val="27"/>
                <w:szCs w:val="27"/>
              </w:rPr>
              <w:t>litre</w:t>
            </w:r>
            <w:proofErr w:type="spellEnd"/>
            <w:r w:rsidRPr="00025F59">
              <w:rPr>
                <w:rFonts w:ascii="Times New Roman" w:eastAsia="Times New Roman" w:hAnsi="Times New Roman" w:cs="Times New Roman"/>
                <w:sz w:val="27"/>
                <w:szCs w:val="27"/>
              </w:rPr>
              <w:t xml:space="preserve"> blocks now have cross-bolted main bearing caps. Of course Rover have produced cross-bolted blocks before, but they were special items and expensive, one of the reasons being that the main caps had to be individually ground to match the block. The new blocks have this feature </w:t>
            </w:r>
            <w:proofErr w:type="spellStart"/>
            <w:r w:rsidRPr="00025F59">
              <w:rPr>
                <w:rFonts w:ascii="Times New Roman" w:eastAsia="Times New Roman" w:hAnsi="Times New Roman" w:cs="Times New Roman"/>
                <w:sz w:val="27"/>
                <w:szCs w:val="27"/>
              </w:rPr>
              <w:t>productionised</w:t>
            </w:r>
            <w:proofErr w:type="spellEnd"/>
            <w:r w:rsidRPr="00025F59">
              <w:rPr>
                <w:rFonts w:ascii="Times New Roman" w:eastAsia="Times New Roman" w:hAnsi="Times New Roman" w:cs="Times New Roman"/>
                <w:sz w:val="27"/>
                <w:szCs w:val="27"/>
              </w:rPr>
              <w:t>, although they are now a press fit in the block. The cap material has also been upgraded from grey to SG iron. </w:t>
            </w:r>
          </w:p>
        </w:tc>
      </w:tr>
      <w:tr w:rsidR="00025F59" w:rsidRPr="00025F59" w:rsidTr="00025F59">
        <w:trPr>
          <w:tblCellSpacing w:w="22"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The interior profile of the 4.0/4.6 block has been altered to make room for the redesigned crankshaft with its bigger bearings and bigger counterweights. The cylinder liners are 5 mm shorter and the oil pick-up from the sump no longer fits </w:t>
            </w:r>
            <w:r w:rsidRPr="00025F59">
              <w:rPr>
                <w:rFonts w:ascii="Times New Roman" w:eastAsia="Times New Roman" w:hAnsi="Times New Roman" w:cs="Times New Roman"/>
                <w:sz w:val="27"/>
                <w:szCs w:val="27"/>
              </w:rPr>
              <w:lastRenderedPageBreak/>
              <w:t>into the block casting, from where the oil made its way to the pump via a drilled gallery; the pick-up on the new engine.</w:t>
            </w:r>
          </w:p>
        </w:tc>
      </w:tr>
      <w:tr w:rsidR="00025F59" w:rsidRPr="00025F59" w:rsidTr="00025F59">
        <w:trPr>
          <w:tblCellSpacing w:w="22"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lastRenderedPageBreak/>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There are two new crankshafts, one of 71 mm stroke for the 4.0-litre and one of 82 mm for the 4.6-litre version.</w:t>
            </w:r>
          </w:p>
        </w:tc>
      </w:tr>
      <w:tr w:rsidR="00025F59" w:rsidRPr="00025F59" w:rsidTr="00025F59">
        <w:trPr>
          <w:tblCellSpacing w:w="22"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9.</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The main bearing size has gone up from 58.4 mm to 63.5 mm and the counterweights are larger, although of the same number as before.  These new crankshafts will not fit into older engines because there is insufficient room for the bigger counterweight to rotate inside the block. The stroke of the 4.0-litre crank is identical to the old 3.9-litre, as is the cylinder bore of 94 mm, so the capacity of these two engines is the same.</w:t>
            </w:r>
          </w:p>
        </w:tc>
      </w:tr>
    </w:tbl>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4"/>
          <w:szCs w:val="24"/>
        </w:rPr>
        <w:b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142"/>
        <w:gridCol w:w="4020"/>
        <w:gridCol w:w="1198"/>
      </w:tblGrid>
      <w:tr w:rsidR="00025F59" w:rsidRPr="00025F59" w:rsidTr="00025F59">
        <w:trPr>
          <w:tblCellSpacing w:w="15" w:type="dxa"/>
        </w:trPr>
        <w:tc>
          <w:tcPr>
            <w:tcW w:w="0" w:type="auto"/>
            <w:gridSpan w:val="3"/>
            <w:tcBorders>
              <w:top w:val="nil"/>
              <w:left w:val="nil"/>
              <w:bottom w:val="nil"/>
              <w:right w:val="nil"/>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b/>
                <w:bCs/>
                <w:sz w:val="27"/>
                <w:szCs w:val="27"/>
              </w:rPr>
              <w:t>COMPARISON BETWEEN BUICK/ ROVER -LAND ROVER ENGINES</w:t>
            </w:r>
          </w:p>
        </w:tc>
      </w:tr>
      <w:tr w:rsidR="00025F59" w:rsidRPr="00025F59" w:rsidTr="00025F5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Engine</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Bore x Stroke</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Capacity</w:t>
            </w:r>
          </w:p>
        </w:tc>
      </w:tr>
      <w:tr w:rsidR="00025F59" w:rsidRPr="00025F59" w:rsidTr="00025F5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Buick 215/Rover 3.5</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88.9mm x 71mm (3.5" x 2.8")</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3500cc</w:t>
            </w:r>
          </w:p>
        </w:tc>
      </w:tr>
      <w:tr w:rsidR="00025F59" w:rsidRPr="00025F59" w:rsidTr="00025F5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Rover 3.9/Rover </w:t>
            </w:r>
            <w:proofErr w:type="spellStart"/>
            <w:r w:rsidRPr="00025F59">
              <w:rPr>
                <w:rFonts w:ascii="Times New Roman" w:eastAsia="Times New Roman" w:hAnsi="Times New Roman" w:cs="Times New Roman"/>
                <w:sz w:val="27"/>
                <w:szCs w:val="27"/>
              </w:rPr>
              <w:t>Crossbolted</w:t>
            </w:r>
            <w:proofErr w:type="spellEnd"/>
            <w:r w:rsidRPr="00025F59">
              <w:rPr>
                <w:rFonts w:ascii="Times New Roman" w:eastAsia="Times New Roman" w:hAnsi="Times New Roman" w:cs="Times New Roman"/>
                <w:sz w:val="27"/>
                <w:szCs w:val="27"/>
              </w:rPr>
              <w:t xml:space="preserve"> 4.0</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94mm x 71mm (3.7" x 2.8")</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3950cc</w:t>
            </w:r>
          </w:p>
        </w:tc>
      </w:tr>
      <w:tr w:rsidR="00025F59" w:rsidRPr="00025F59" w:rsidTr="00025F5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Rover 4.2</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94mm x 77mm (3.7" x 3.0")</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4278cc</w:t>
            </w:r>
          </w:p>
        </w:tc>
      </w:tr>
      <w:tr w:rsidR="00025F59" w:rsidRPr="00025F59" w:rsidTr="00025F5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Leyland Australia P76 4.4</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88.9mm x 88.9mm (3.5" x 3.5")</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4416cc</w:t>
            </w:r>
          </w:p>
        </w:tc>
      </w:tr>
      <w:tr w:rsidR="00025F59" w:rsidRPr="00025F59" w:rsidTr="00025F5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Rover </w:t>
            </w:r>
            <w:proofErr w:type="spellStart"/>
            <w:r w:rsidRPr="00025F59">
              <w:rPr>
                <w:rFonts w:ascii="Times New Roman" w:eastAsia="Times New Roman" w:hAnsi="Times New Roman" w:cs="Times New Roman"/>
                <w:sz w:val="27"/>
                <w:szCs w:val="27"/>
              </w:rPr>
              <w:t>Crossbolted</w:t>
            </w:r>
            <w:proofErr w:type="spellEnd"/>
            <w:r w:rsidRPr="00025F59">
              <w:rPr>
                <w:rFonts w:ascii="Times New Roman" w:eastAsia="Times New Roman" w:hAnsi="Times New Roman" w:cs="Times New Roman"/>
                <w:sz w:val="27"/>
                <w:szCs w:val="27"/>
              </w:rPr>
              <w:t xml:space="preserve"> 4.6</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94mm x 82mm (3.7" x 3.2")</w:t>
            </w:r>
          </w:p>
        </w:tc>
        <w:tc>
          <w:tcPr>
            <w:tcW w:w="0" w:type="auto"/>
            <w:tcBorders>
              <w:top w:val="outset" w:sz="6" w:space="0" w:color="auto"/>
              <w:left w:val="outset" w:sz="6" w:space="0" w:color="auto"/>
              <w:bottom w:val="outset" w:sz="6" w:space="0" w:color="auto"/>
              <w:right w:val="outset" w:sz="6" w:space="0" w:color="auto"/>
            </w:tcBorders>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4554cc</w:t>
            </w:r>
          </w:p>
        </w:tc>
      </w:tr>
    </w:tbl>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4"/>
          <w:szCs w:val="24"/>
        </w:rPr>
        <w:br/>
        <w:t xml:space="preserve">  </w:t>
      </w:r>
    </w:p>
    <w:tbl>
      <w:tblPr>
        <w:tblW w:w="0" w:type="auto"/>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1666"/>
        <w:gridCol w:w="947"/>
        <w:gridCol w:w="1254"/>
        <w:gridCol w:w="1132"/>
        <w:gridCol w:w="1675"/>
        <w:gridCol w:w="1088"/>
        <w:gridCol w:w="1582"/>
      </w:tblGrid>
      <w:tr w:rsidR="00025F59" w:rsidRPr="00025F59" w:rsidTr="00025F59">
        <w:trPr>
          <w:tblCellSpacing w:w="15" w:type="dxa"/>
        </w:trPr>
        <w:tc>
          <w:tcPr>
            <w:tcW w:w="1755" w:type="dxa"/>
            <w:tcBorders>
              <w:top w:val="outset" w:sz="6" w:space="0" w:color="000000"/>
              <w:left w:val="outset" w:sz="6" w:space="0" w:color="000000"/>
              <w:bottom w:val="nil"/>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Displacement</w:t>
            </w:r>
          </w:p>
        </w:tc>
        <w:tc>
          <w:tcPr>
            <w:tcW w:w="1095" w:type="dxa"/>
            <w:tcBorders>
              <w:top w:val="outset" w:sz="6" w:space="0" w:color="000000"/>
              <w:left w:val="outset" w:sz="6" w:space="0" w:color="000000"/>
              <w:bottom w:val="nil"/>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Bore</w:t>
            </w:r>
          </w:p>
        </w:tc>
        <w:tc>
          <w:tcPr>
            <w:tcW w:w="1575" w:type="dxa"/>
            <w:tcBorders>
              <w:top w:val="outset" w:sz="6" w:space="0" w:color="000000"/>
              <w:left w:val="outset" w:sz="6" w:space="0" w:color="000000"/>
              <w:bottom w:val="nil"/>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Stroke</w:t>
            </w:r>
          </w:p>
        </w:tc>
        <w:tc>
          <w:tcPr>
            <w:tcW w:w="1635" w:type="dxa"/>
            <w:tcBorders>
              <w:top w:val="outset" w:sz="6" w:space="0" w:color="000000"/>
              <w:left w:val="outset" w:sz="6" w:space="0" w:color="000000"/>
              <w:bottom w:val="nil"/>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xml:space="preserve">Main </w:t>
            </w:r>
            <w:proofErr w:type="spellStart"/>
            <w:r w:rsidRPr="00025F59">
              <w:rPr>
                <w:rFonts w:ascii="Times New Roman" w:eastAsia="Times New Roman" w:hAnsi="Times New Roman" w:cs="Times New Roman"/>
                <w:color w:val="000000"/>
                <w:sz w:val="27"/>
                <w:szCs w:val="27"/>
              </w:rPr>
              <w:t>Brg</w:t>
            </w:r>
            <w:proofErr w:type="spellEnd"/>
          </w:p>
        </w:tc>
        <w:tc>
          <w:tcPr>
            <w:tcW w:w="3015" w:type="dxa"/>
            <w:tcBorders>
              <w:top w:val="outset" w:sz="6" w:space="0" w:color="000000"/>
              <w:left w:val="outset" w:sz="6" w:space="0" w:color="000000"/>
              <w:bottom w:val="nil"/>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xml:space="preserve">Rod Big End </w:t>
            </w:r>
            <w:proofErr w:type="spellStart"/>
            <w:r w:rsidRPr="00025F59">
              <w:rPr>
                <w:rFonts w:ascii="Times New Roman" w:eastAsia="Times New Roman" w:hAnsi="Times New Roman" w:cs="Times New Roman"/>
                <w:color w:val="000000"/>
                <w:sz w:val="27"/>
                <w:szCs w:val="27"/>
              </w:rPr>
              <w:t>Brg</w:t>
            </w:r>
            <w:proofErr w:type="spellEnd"/>
          </w:p>
        </w:tc>
        <w:tc>
          <w:tcPr>
            <w:tcW w:w="1515" w:type="dxa"/>
            <w:tcBorders>
              <w:top w:val="outset" w:sz="6" w:space="0" w:color="000000"/>
              <w:left w:val="outset" w:sz="6" w:space="0" w:color="000000"/>
              <w:bottom w:val="nil"/>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Wrist Pin</w:t>
            </w:r>
          </w:p>
        </w:tc>
        <w:tc>
          <w:tcPr>
            <w:tcW w:w="2715" w:type="dxa"/>
            <w:tcBorders>
              <w:top w:val="outset" w:sz="6" w:space="0" w:color="000000"/>
              <w:left w:val="outset" w:sz="6" w:space="0" w:color="000000"/>
              <w:bottom w:val="nil"/>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Rod C/L to C/L</w:t>
            </w:r>
          </w:p>
        </w:tc>
      </w:tr>
      <w:tr w:rsidR="00025F59" w:rsidRPr="00025F59" w:rsidTr="00025F59">
        <w:trPr>
          <w:tblCellSpacing w:w="15" w:type="dxa"/>
        </w:trPr>
        <w:tc>
          <w:tcPr>
            <w:tcW w:w="175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215CI BOP</w:t>
            </w:r>
          </w:p>
        </w:tc>
        <w:tc>
          <w:tcPr>
            <w:tcW w:w="1095" w:type="dxa"/>
            <w:tcBorders>
              <w:top w:val="outset" w:sz="6" w:space="0" w:color="000000"/>
              <w:left w:val="outset" w:sz="6" w:space="0" w:color="000000"/>
              <w:bottom w:val="outset" w:sz="6" w:space="0" w:color="000000"/>
              <w:right w:val="outset" w:sz="6" w:space="0" w:color="000000"/>
            </w:tcBorders>
            <w:tcMar>
              <w:top w:w="15" w:type="dxa"/>
              <w:left w:w="30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3.50</w:t>
            </w:r>
          </w:p>
        </w:tc>
        <w:tc>
          <w:tcPr>
            <w:tcW w:w="1575" w:type="dxa"/>
            <w:tcBorders>
              <w:top w:val="outset" w:sz="6" w:space="0" w:color="000000"/>
              <w:left w:val="outset" w:sz="6" w:space="0" w:color="000000"/>
              <w:bottom w:val="outset" w:sz="6" w:space="0" w:color="000000"/>
              <w:right w:val="outset" w:sz="6" w:space="0" w:color="000000"/>
            </w:tcBorders>
            <w:tcMar>
              <w:top w:w="15" w:type="dxa"/>
              <w:left w:w="24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2.8000</w:t>
            </w:r>
          </w:p>
        </w:tc>
        <w:tc>
          <w:tcPr>
            <w:tcW w:w="163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2.3000</w:t>
            </w:r>
          </w:p>
        </w:tc>
        <w:tc>
          <w:tcPr>
            <w:tcW w:w="30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2.0</w:t>
            </w:r>
          </w:p>
        </w:tc>
        <w:tc>
          <w:tcPr>
            <w:tcW w:w="1515" w:type="dxa"/>
            <w:tcBorders>
              <w:top w:val="outset" w:sz="6" w:space="0" w:color="000000"/>
              <w:left w:val="outset" w:sz="6" w:space="0" w:color="000000"/>
              <w:bottom w:val="outset" w:sz="6" w:space="0" w:color="000000"/>
              <w:right w:val="outset" w:sz="6" w:space="0" w:color="000000"/>
            </w:tcBorders>
            <w:tcMar>
              <w:top w:w="15" w:type="dxa"/>
              <w:left w:w="15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.8750</w:t>
            </w:r>
          </w:p>
        </w:tc>
        <w:tc>
          <w:tcPr>
            <w:tcW w:w="27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5.660</w:t>
            </w:r>
          </w:p>
        </w:tc>
      </w:tr>
      <w:tr w:rsidR="00025F59" w:rsidRPr="00025F59" w:rsidTr="00025F59">
        <w:trPr>
          <w:tblCellSpacing w:w="15" w:type="dxa"/>
        </w:trPr>
        <w:tc>
          <w:tcPr>
            <w:tcW w:w="175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300CI Buick</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15" w:type="dxa"/>
              <w:left w:w="30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3.75</w:t>
            </w:r>
          </w:p>
        </w:tc>
        <w:tc>
          <w:tcPr>
            <w:tcW w:w="1575" w:type="dxa"/>
            <w:tcBorders>
              <w:top w:val="outset" w:sz="6" w:space="0" w:color="000000"/>
              <w:left w:val="outset" w:sz="6" w:space="0" w:color="000000"/>
              <w:bottom w:val="outset" w:sz="6" w:space="0" w:color="000000"/>
              <w:right w:val="outset" w:sz="6" w:space="0" w:color="000000"/>
            </w:tcBorders>
            <w:tcMar>
              <w:top w:w="15" w:type="dxa"/>
              <w:left w:w="24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3.3600</w:t>
            </w:r>
          </w:p>
        </w:tc>
        <w:tc>
          <w:tcPr>
            <w:tcW w:w="163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2.5000</w:t>
            </w:r>
          </w:p>
        </w:tc>
        <w:tc>
          <w:tcPr>
            <w:tcW w:w="30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2.0</w:t>
            </w:r>
          </w:p>
        </w:tc>
        <w:tc>
          <w:tcPr>
            <w:tcW w:w="1515" w:type="dxa"/>
            <w:tcBorders>
              <w:top w:val="outset" w:sz="6" w:space="0" w:color="000000"/>
              <w:left w:val="outset" w:sz="6" w:space="0" w:color="000000"/>
              <w:bottom w:val="outset" w:sz="6" w:space="0" w:color="000000"/>
              <w:right w:val="outset" w:sz="6" w:space="0" w:color="000000"/>
            </w:tcBorders>
            <w:tcMar>
              <w:top w:w="15" w:type="dxa"/>
              <w:left w:w="15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.9390</w:t>
            </w:r>
          </w:p>
        </w:tc>
        <w:tc>
          <w:tcPr>
            <w:tcW w:w="27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5.960</w:t>
            </w:r>
          </w:p>
        </w:tc>
      </w:tr>
      <w:tr w:rsidR="00025F59" w:rsidRPr="00025F59" w:rsidTr="00025F59">
        <w:trPr>
          <w:tblCellSpacing w:w="15" w:type="dxa"/>
        </w:trPr>
        <w:tc>
          <w:tcPr>
            <w:tcW w:w="175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3.5L Rover</w:t>
            </w:r>
          </w:p>
        </w:tc>
        <w:tc>
          <w:tcPr>
            <w:tcW w:w="1095" w:type="dxa"/>
            <w:tcBorders>
              <w:top w:val="outset" w:sz="6" w:space="0" w:color="000000"/>
              <w:left w:val="outset" w:sz="6" w:space="0" w:color="000000"/>
              <w:bottom w:val="outset" w:sz="6" w:space="0" w:color="000000"/>
              <w:right w:val="outset" w:sz="6" w:space="0" w:color="000000"/>
            </w:tcBorders>
            <w:tcMar>
              <w:top w:w="15" w:type="dxa"/>
              <w:left w:w="30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3.50</w:t>
            </w:r>
          </w:p>
        </w:tc>
        <w:tc>
          <w:tcPr>
            <w:tcW w:w="1575" w:type="dxa"/>
            <w:tcBorders>
              <w:top w:val="outset" w:sz="6" w:space="0" w:color="000000"/>
              <w:left w:val="outset" w:sz="6" w:space="0" w:color="000000"/>
              <w:bottom w:val="outset" w:sz="6" w:space="0" w:color="000000"/>
              <w:right w:val="outset" w:sz="6" w:space="0" w:color="000000"/>
            </w:tcBorders>
            <w:tcMar>
              <w:top w:w="15" w:type="dxa"/>
              <w:left w:w="24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2.8000</w:t>
            </w:r>
          </w:p>
        </w:tc>
        <w:tc>
          <w:tcPr>
            <w:tcW w:w="163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2.2993</w:t>
            </w:r>
          </w:p>
        </w:tc>
        <w:tc>
          <w:tcPr>
            <w:tcW w:w="30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2.0</w:t>
            </w:r>
          </w:p>
        </w:tc>
        <w:tc>
          <w:tcPr>
            <w:tcW w:w="1515" w:type="dxa"/>
            <w:tcBorders>
              <w:top w:val="outset" w:sz="6" w:space="0" w:color="000000"/>
              <w:left w:val="outset" w:sz="6" w:space="0" w:color="000000"/>
              <w:bottom w:val="outset" w:sz="6" w:space="0" w:color="000000"/>
              <w:right w:val="outset" w:sz="6" w:space="0" w:color="000000"/>
            </w:tcBorders>
            <w:tcMar>
              <w:top w:w="15" w:type="dxa"/>
              <w:left w:w="15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.8750</w:t>
            </w:r>
          </w:p>
        </w:tc>
        <w:tc>
          <w:tcPr>
            <w:tcW w:w="27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5.660</w:t>
            </w:r>
          </w:p>
        </w:tc>
      </w:tr>
      <w:tr w:rsidR="00025F59" w:rsidRPr="00025F59" w:rsidTr="00025F59">
        <w:trPr>
          <w:tblCellSpacing w:w="15" w:type="dxa"/>
        </w:trPr>
        <w:tc>
          <w:tcPr>
            <w:tcW w:w="175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3.9L Rover</w:t>
            </w:r>
          </w:p>
        </w:tc>
        <w:tc>
          <w:tcPr>
            <w:tcW w:w="1095" w:type="dxa"/>
            <w:tcBorders>
              <w:top w:val="outset" w:sz="6" w:space="0" w:color="000000"/>
              <w:left w:val="outset" w:sz="6" w:space="0" w:color="000000"/>
              <w:bottom w:val="outset" w:sz="6" w:space="0" w:color="000000"/>
              <w:right w:val="outset" w:sz="6" w:space="0" w:color="000000"/>
            </w:tcBorders>
            <w:tcMar>
              <w:top w:w="15" w:type="dxa"/>
              <w:left w:w="30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3.70</w:t>
            </w:r>
            <w:r w:rsidRPr="00025F59">
              <w:rPr>
                <w:rFonts w:ascii="Times New Roman" w:eastAsia="Times New Roman" w:hAnsi="Times New Roman" w:cs="Times New Roman"/>
                <w:color w:val="000000"/>
                <w:sz w:val="27"/>
                <w:szCs w:val="27"/>
                <w:vertAlign w:val="superscript"/>
              </w:rPr>
              <w:t xml:space="preserve"> 1</w:t>
            </w:r>
          </w:p>
        </w:tc>
        <w:tc>
          <w:tcPr>
            <w:tcW w:w="1575" w:type="dxa"/>
            <w:tcBorders>
              <w:top w:val="outset" w:sz="6" w:space="0" w:color="000000"/>
              <w:left w:val="outset" w:sz="6" w:space="0" w:color="000000"/>
              <w:bottom w:val="outset" w:sz="6" w:space="0" w:color="000000"/>
              <w:right w:val="outset" w:sz="6" w:space="0" w:color="000000"/>
            </w:tcBorders>
            <w:tcMar>
              <w:top w:w="15" w:type="dxa"/>
              <w:left w:w="24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2.8000</w:t>
            </w:r>
            <w:r w:rsidRPr="00025F59">
              <w:rPr>
                <w:rFonts w:ascii="Times New Roman" w:eastAsia="Times New Roman" w:hAnsi="Times New Roman" w:cs="Times New Roman"/>
                <w:color w:val="000000"/>
                <w:sz w:val="27"/>
                <w:szCs w:val="27"/>
                <w:vertAlign w:val="superscript"/>
              </w:rPr>
              <w:t xml:space="preserve"> 1</w:t>
            </w:r>
          </w:p>
        </w:tc>
        <w:tc>
          <w:tcPr>
            <w:tcW w:w="163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2.2993</w:t>
            </w:r>
          </w:p>
        </w:tc>
        <w:tc>
          <w:tcPr>
            <w:tcW w:w="30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2.0</w:t>
            </w:r>
          </w:p>
        </w:tc>
        <w:tc>
          <w:tcPr>
            <w:tcW w:w="1515" w:type="dxa"/>
            <w:tcBorders>
              <w:top w:val="outset" w:sz="6" w:space="0" w:color="000000"/>
              <w:left w:val="outset" w:sz="6" w:space="0" w:color="000000"/>
              <w:bottom w:val="outset" w:sz="6" w:space="0" w:color="000000"/>
              <w:right w:val="outset" w:sz="6" w:space="0" w:color="000000"/>
            </w:tcBorders>
            <w:tcMar>
              <w:top w:w="15" w:type="dxa"/>
              <w:left w:w="15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.8750</w:t>
            </w:r>
          </w:p>
        </w:tc>
        <w:tc>
          <w:tcPr>
            <w:tcW w:w="27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5.660</w:t>
            </w:r>
          </w:p>
        </w:tc>
      </w:tr>
      <w:tr w:rsidR="00025F59" w:rsidRPr="00025F59" w:rsidTr="00025F59">
        <w:trPr>
          <w:tblCellSpacing w:w="15" w:type="dxa"/>
        </w:trPr>
        <w:tc>
          <w:tcPr>
            <w:tcW w:w="175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4.2L Rover</w:t>
            </w:r>
          </w:p>
        </w:tc>
        <w:tc>
          <w:tcPr>
            <w:tcW w:w="1095" w:type="dxa"/>
            <w:tcBorders>
              <w:top w:val="outset" w:sz="6" w:space="0" w:color="000000"/>
              <w:left w:val="outset" w:sz="6" w:space="0" w:color="000000"/>
              <w:bottom w:val="outset" w:sz="6" w:space="0" w:color="000000"/>
              <w:right w:val="outset" w:sz="6" w:space="0" w:color="000000"/>
            </w:tcBorders>
            <w:tcMar>
              <w:top w:w="15" w:type="dxa"/>
              <w:left w:w="30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3.70</w:t>
            </w:r>
          </w:p>
        </w:tc>
        <w:tc>
          <w:tcPr>
            <w:tcW w:w="1575" w:type="dxa"/>
            <w:tcBorders>
              <w:top w:val="outset" w:sz="6" w:space="0" w:color="000000"/>
              <w:left w:val="outset" w:sz="6" w:space="0" w:color="000000"/>
              <w:bottom w:val="outset" w:sz="6" w:space="0" w:color="000000"/>
              <w:right w:val="outset" w:sz="6" w:space="0" w:color="000000"/>
            </w:tcBorders>
            <w:tcMar>
              <w:top w:w="15" w:type="dxa"/>
              <w:left w:w="24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xml:space="preserve">3.0000 </w:t>
            </w:r>
            <w:r w:rsidRPr="00025F59">
              <w:rPr>
                <w:rFonts w:ascii="Times New Roman" w:eastAsia="Times New Roman" w:hAnsi="Times New Roman" w:cs="Times New Roman"/>
                <w:color w:val="000000"/>
                <w:sz w:val="27"/>
                <w:szCs w:val="27"/>
                <w:vertAlign w:val="superscript"/>
              </w:rPr>
              <w:t>1,2</w:t>
            </w:r>
          </w:p>
        </w:tc>
        <w:tc>
          <w:tcPr>
            <w:tcW w:w="163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2.2993</w:t>
            </w:r>
          </w:p>
        </w:tc>
        <w:tc>
          <w:tcPr>
            <w:tcW w:w="30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2.0</w:t>
            </w:r>
          </w:p>
        </w:tc>
        <w:tc>
          <w:tcPr>
            <w:tcW w:w="1515" w:type="dxa"/>
            <w:tcBorders>
              <w:top w:val="outset" w:sz="6" w:space="0" w:color="000000"/>
              <w:left w:val="outset" w:sz="6" w:space="0" w:color="000000"/>
              <w:bottom w:val="outset" w:sz="6" w:space="0" w:color="000000"/>
              <w:right w:val="outset" w:sz="6" w:space="0" w:color="000000"/>
            </w:tcBorders>
            <w:tcMar>
              <w:top w:w="15" w:type="dxa"/>
              <w:left w:w="15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.8750</w:t>
            </w:r>
          </w:p>
        </w:tc>
        <w:tc>
          <w:tcPr>
            <w:tcW w:w="27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5.660</w:t>
            </w:r>
          </w:p>
        </w:tc>
      </w:tr>
      <w:tr w:rsidR="00025F59" w:rsidRPr="00025F59" w:rsidTr="00025F59">
        <w:trPr>
          <w:tblCellSpacing w:w="15" w:type="dxa"/>
        </w:trPr>
        <w:tc>
          <w:tcPr>
            <w:tcW w:w="175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4.4L P76</w:t>
            </w:r>
          </w:p>
        </w:tc>
        <w:tc>
          <w:tcPr>
            <w:tcW w:w="1095" w:type="dxa"/>
            <w:tcBorders>
              <w:top w:val="outset" w:sz="6" w:space="0" w:color="000000"/>
              <w:left w:val="outset" w:sz="6" w:space="0" w:color="000000"/>
              <w:bottom w:val="outset" w:sz="6" w:space="0" w:color="000000"/>
              <w:right w:val="outset" w:sz="6" w:space="0" w:color="000000"/>
            </w:tcBorders>
            <w:tcMar>
              <w:top w:w="15" w:type="dxa"/>
              <w:left w:w="30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3.50</w:t>
            </w:r>
          </w:p>
        </w:tc>
        <w:tc>
          <w:tcPr>
            <w:tcW w:w="1575" w:type="dxa"/>
            <w:tcBorders>
              <w:top w:val="outset" w:sz="6" w:space="0" w:color="000000"/>
              <w:left w:val="outset" w:sz="6" w:space="0" w:color="000000"/>
              <w:bottom w:val="outset" w:sz="6" w:space="0" w:color="000000"/>
              <w:right w:val="outset" w:sz="6" w:space="0" w:color="000000"/>
            </w:tcBorders>
            <w:tcMar>
              <w:top w:w="15" w:type="dxa"/>
              <w:left w:w="24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3.5000</w:t>
            </w:r>
          </w:p>
        </w:tc>
        <w:tc>
          <w:tcPr>
            <w:tcW w:w="163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2.5495</w:t>
            </w:r>
          </w:p>
        </w:tc>
        <w:tc>
          <w:tcPr>
            <w:tcW w:w="30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2.0</w:t>
            </w:r>
          </w:p>
        </w:tc>
        <w:tc>
          <w:tcPr>
            <w:tcW w:w="1515" w:type="dxa"/>
            <w:tcBorders>
              <w:top w:val="outset" w:sz="6" w:space="0" w:color="000000"/>
              <w:left w:val="outset" w:sz="6" w:space="0" w:color="000000"/>
              <w:bottom w:val="outset" w:sz="6" w:space="0" w:color="000000"/>
              <w:right w:val="outset" w:sz="6" w:space="0" w:color="000000"/>
            </w:tcBorders>
            <w:tcMar>
              <w:top w:w="15" w:type="dxa"/>
              <w:left w:w="15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.8750</w:t>
            </w:r>
          </w:p>
        </w:tc>
        <w:tc>
          <w:tcPr>
            <w:tcW w:w="27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6.250</w:t>
            </w:r>
          </w:p>
        </w:tc>
      </w:tr>
      <w:tr w:rsidR="00025F59" w:rsidRPr="00025F59" w:rsidTr="00025F59">
        <w:trPr>
          <w:tblCellSpacing w:w="15" w:type="dxa"/>
        </w:trPr>
        <w:tc>
          <w:tcPr>
            <w:tcW w:w="175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4.0L Rover</w:t>
            </w:r>
          </w:p>
        </w:tc>
        <w:tc>
          <w:tcPr>
            <w:tcW w:w="1095" w:type="dxa"/>
            <w:tcBorders>
              <w:top w:val="outset" w:sz="6" w:space="0" w:color="000000"/>
              <w:left w:val="outset" w:sz="6" w:space="0" w:color="000000"/>
              <w:bottom w:val="outset" w:sz="6" w:space="0" w:color="000000"/>
              <w:right w:val="outset" w:sz="6" w:space="0" w:color="000000"/>
            </w:tcBorders>
            <w:tcMar>
              <w:top w:w="15" w:type="dxa"/>
              <w:left w:w="30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3.70</w:t>
            </w:r>
          </w:p>
        </w:tc>
        <w:tc>
          <w:tcPr>
            <w:tcW w:w="1575" w:type="dxa"/>
            <w:tcBorders>
              <w:top w:val="outset" w:sz="6" w:space="0" w:color="000000"/>
              <w:left w:val="outset" w:sz="6" w:space="0" w:color="000000"/>
              <w:bottom w:val="outset" w:sz="6" w:space="0" w:color="000000"/>
              <w:right w:val="outset" w:sz="6" w:space="0" w:color="000000"/>
            </w:tcBorders>
            <w:tcMar>
              <w:top w:w="15" w:type="dxa"/>
              <w:left w:w="24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2.8000</w:t>
            </w:r>
          </w:p>
        </w:tc>
        <w:tc>
          <w:tcPr>
            <w:tcW w:w="163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2.500</w:t>
            </w:r>
          </w:p>
        </w:tc>
        <w:tc>
          <w:tcPr>
            <w:tcW w:w="30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2.185</w:t>
            </w:r>
          </w:p>
        </w:tc>
        <w:tc>
          <w:tcPr>
            <w:tcW w:w="1515" w:type="dxa"/>
            <w:tcBorders>
              <w:top w:val="outset" w:sz="6" w:space="0" w:color="000000"/>
              <w:left w:val="outset" w:sz="6" w:space="0" w:color="000000"/>
              <w:bottom w:val="outset" w:sz="6" w:space="0" w:color="000000"/>
              <w:right w:val="outset" w:sz="6" w:space="0" w:color="000000"/>
            </w:tcBorders>
            <w:tcMar>
              <w:top w:w="15" w:type="dxa"/>
              <w:left w:w="15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.9449</w:t>
            </w:r>
          </w:p>
        </w:tc>
        <w:tc>
          <w:tcPr>
            <w:tcW w:w="27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6.111</w:t>
            </w:r>
          </w:p>
        </w:tc>
      </w:tr>
      <w:tr w:rsidR="00025F59" w:rsidRPr="00025F59" w:rsidTr="00025F59">
        <w:trPr>
          <w:tblCellSpacing w:w="15" w:type="dxa"/>
        </w:trPr>
        <w:tc>
          <w:tcPr>
            <w:tcW w:w="175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 4.6L Rover</w:t>
            </w:r>
          </w:p>
        </w:tc>
        <w:tc>
          <w:tcPr>
            <w:tcW w:w="1095" w:type="dxa"/>
            <w:tcBorders>
              <w:top w:val="outset" w:sz="6" w:space="0" w:color="000000"/>
              <w:left w:val="outset" w:sz="6" w:space="0" w:color="000000"/>
              <w:bottom w:val="outset" w:sz="6" w:space="0" w:color="000000"/>
              <w:right w:val="outset" w:sz="6" w:space="0" w:color="000000"/>
            </w:tcBorders>
            <w:tcMar>
              <w:top w:w="15" w:type="dxa"/>
              <w:left w:w="30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3.70</w:t>
            </w:r>
          </w:p>
        </w:tc>
        <w:tc>
          <w:tcPr>
            <w:tcW w:w="1575" w:type="dxa"/>
            <w:tcBorders>
              <w:top w:val="outset" w:sz="6" w:space="0" w:color="000000"/>
              <w:left w:val="outset" w:sz="6" w:space="0" w:color="000000"/>
              <w:bottom w:val="outset" w:sz="6" w:space="0" w:color="000000"/>
              <w:right w:val="outset" w:sz="6" w:space="0" w:color="000000"/>
            </w:tcBorders>
            <w:tcMar>
              <w:top w:w="15" w:type="dxa"/>
              <w:left w:w="24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3.2283</w:t>
            </w:r>
          </w:p>
        </w:tc>
        <w:tc>
          <w:tcPr>
            <w:tcW w:w="1635" w:type="dxa"/>
            <w:tcBorders>
              <w:top w:val="outset" w:sz="6" w:space="0" w:color="000000"/>
              <w:left w:val="outset" w:sz="6" w:space="0" w:color="000000"/>
              <w:bottom w:val="outset" w:sz="6" w:space="0" w:color="000000"/>
              <w:right w:val="outset" w:sz="6" w:space="0" w:color="000000"/>
            </w:tcBorders>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2.500</w:t>
            </w:r>
          </w:p>
        </w:tc>
        <w:tc>
          <w:tcPr>
            <w:tcW w:w="30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2.185</w:t>
            </w:r>
          </w:p>
        </w:tc>
        <w:tc>
          <w:tcPr>
            <w:tcW w:w="1515" w:type="dxa"/>
            <w:tcBorders>
              <w:top w:val="outset" w:sz="6" w:space="0" w:color="000000"/>
              <w:left w:val="outset" w:sz="6" w:space="0" w:color="000000"/>
              <w:bottom w:val="outset" w:sz="6" w:space="0" w:color="000000"/>
              <w:right w:val="outset" w:sz="6" w:space="0" w:color="000000"/>
            </w:tcBorders>
            <w:tcMar>
              <w:top w:w="15" w:type="dxa"/>
              <w:left w:w="150"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color w:val="000000"/>
                <w:sz w:val="27"/>
                <w:szCs w:val="27"/>
              </w:rPr>
              <w:t>.</w:t>
            </w:r>
            <w:r w:rsidRPr="00025F59">
              <w:rPr>
                <w:rFonts w:ascii="Times New Roman" w:eastAsia="Times New Roman" w:hAnsi="Times New Roman" w:cs="Times New Roman"/>
                <w:sz w:val="27"/>
                <w:szCs w:val="27"/>
              </w:rPr>
              <w:t>9449</w:t>
            </w:r>
          </w:p>
        </w:tc>
        <w:tc>
          <w:tcPr>
            <w:tcW w:w="2715" w:type="dxa"/>
            <w:tcBorders>
              <w:top w:val="outset" w:sz="6" w:space="0" w:color="000000"/>
              <w:left w:val="outset" w:sz="6" w:space="0" w:color="000000"/>
              <w:bottom w:val="outset" w:sz="6" w:space="0" w:color="000000"/>
              <w:right w:val="outset" w:sz="6" w:space="0" w:color="000000"/>
            </w:tcBorders>
            <w:tcMar>
              <w:top w:w="15" w:type="dxa"/>
              <w:left w:w="225" w:type="dxa"/>
              <w:bottom w:w="15" w:type="dxa"/>
              <w:right w:w="15" w:type="dxa"/>
            </w:tcMar>
            <w:vAlign w:val="center"/>
            <w:hideMark/>
          </w:tcPr>
          <w:p w:rsidR="00025F59" w:rsidRPr="00025F59" w:rsidRDefault="00025F59" w:rsidP="00025F59">
            <w:pPr>
              <w:spacing w:after="0" w:line="240" w:lineRule="auto"/>
              <w:jc w:val="center"/>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5.897</w:t>
            </w:r>
          </w:p>
        </w:tc>
      </w:tr>
    </w:tbl>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lastRenderedPageBreak/>
        <w:t>When using the Ford 255 Ford V8 or 2.8L Ford V6 (or similar bore size) pistons, you want 3 11/16" x 3/32" sleeves. For 305 Chevy pistons (dished LG4), you want 3.75" x 3/32" sleeves. For 2.3L Ford turbo pistons (3.78" bore), use the same sleeves bored 0.030 over.</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b/>
          <w:bCs/>
          <w:sz w:val="36"/>
          <w:szCs w:val="36"/>
          <w:u w:val="single"/>
        </w:rPr>
        <w:t>A NAS 4.0 </w:t>
      </w:r>
      <w:bookmarkStart w:id="1" w:name="Anomoly"/>
      <w:bookmarkEnd w:id="1"/>
      <w:proofErr w:type="spellStart"/>
      <w:r w:rsidRPr="00025F59">
        <w:rPr>
          <w:rFonts w:ascii="Times New Roman" w:eastAsia="Times New Roman" w:hAnsi="Times New Roman" w:cs="Times New Roman"/>
          <w:b/>
          <w:bCs/>
          <w:sz w:val="36"/>
          <w:szCs w:val="36"/>
          <w:u w:val="single"/>
        </w:rPr>
        <w:t>Anomoly</w:t>
      </w:r>
      <w:proofErr w:type="spellEnd"/>
      <w:r w:rsidRPr="00025F59">
        <w:rPr>
          <w:rFonts w:ascii="Times New Roman" w:eastAsia="Times New Roman" w:hAnsi="Times New Roman" w:cs="Times New Roman"/>
          <w:b/>
          <w:bCs/>
          <w:sz w:val="36"/>
          <w:szCs w:val="36"/>
          <w:u w:val="single"/>
        </w:rPr>
        <w:t xml:space="preserve"> (1998-2002 models)</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Experience seems to show that, when in doubt, the US </w:t>
      </w:r>
      <w:proofErr w:type="gramStart"/>
      <w:r w:rsidRPr="00025F59">
        <w:rPr>
          <w:rFonts w:ascii="Times New Roman" w:eastAsia="Times New Roman" w:hAnsi="Times New Roman" w:cs="Times New Roman"/>
          <w:sz w:val="27"/>
          <w:szCs w:val="27"/>
        </w:rPr>
        <w:t>Plus</w:t>
      </w:r>
      <w:proofErr w:type="gramEnd"/>
      <w:r w:rsidRPr="00025F59">
        <w:rPr>
          <w:rFonts w:ascii="Times New Roman" w:eastAsia="Times New Roman" w:hAnsi="Times New Roman" w:cs="Times New Roman"/>
          <w:sz w:val="27"/>
          <w:szCs w:val="27"/>
        </w:rPr>
        <w:t xml:space="preserve"> 8s (4.0 1998-2002) NAS SAGEM fueling system ECU (computer) will revert to a default setting. Like most default setting, the car will be protected for a presumably a short period by running very rich. There will be a smell from the cats of rotten eggs and the car will react poorly with a bad idle and sluggish performance.</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Many things can produce this state...a prolonged non-use of the </w:t>
      </w:r>
      <w:proofErr w:type="spellStart"/>
      <w:r w:rsidRPr="00025F59">
        <w:rPr>
          <w:rFonts w:ascii="Times New Roman" w:eastAsia="Times New Roman" w:hAnsi="Times New Roman" w:cs="Times New Roman"/>
          <w:sz w:val="27"/>
          <w:szCs w:val="27"/>
        </w:rPr>
        <w:t>car</w:t>
      </w:r>
      <w:proofErr w:type="gramStart"/>
      <w:r w:rsidRPr="00025F59">
        <w:rPr>
          <w:rFonts w:ascii="Times New Roman" w:eastAsia="Times New Roman" w:hAnsi="Times New Roman" w:cs="Times New Roman"/>
          <w:sz w:val="27"/>
          <w:szCs w:val="27"/>
        </w:rPr>
        <w:t>..a</w:t>
      </w:r>
      <w:proofErr w:type="spellEnd"/>
      <w:proofErr w:type="gramEnd"/>
      <w:r w:rsidRPr="00025F59">
        <w:rPr>
          <w:rFonts w:ascii="Times New Roman" w:eastAsia="Times New Roman" w:hAnsi="Times New Roman" w:cs="Times New Roman"/>
          <w:sz w:val="27"/>
          <w:szCs w:val="27"/>
        </w:rPr>
        <w:t xml:space="preserve"> lack of power to the ECU or overfilling the petrol tank.</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In such a case with these symptoms, the ECU must be reprogrammed to run properly again. </w:t>
      </w:r>
      <w:proofErr w:type="spellStart"/>
      <w:r w:rsidRPr="00025F59">
        <w:rPr>
          <w:rFonts w:ascii="Times New Roman" w:eastAsia="Times New Roman" w:hAnsi="Times New Roman" w:cs="Times New Roman"/>
          <w:sz w:val="27"/>
          <w:szCs w:val="27"/>
        </w:rPr>
        <w:t>TRhis</w:t>
      </w:r>
      <w:proofErr w:type="spellEnd"/>
      <w:r w:rsidRPr="00025F59">
        <w:rPr>
          <w:rFonts w:ascii="Times New Roman" w:eastAsia="Times New Roman" w:hAnsi="Times New Roman" w:cs="Times New Roman"/>
          <w:sz w:val="27"/>
          <w:szCs w:val="27"/>
        </w:rPr>
        <w:t xml:space="preserve"> is a simple matter if you know the setting and you have access to a LR dealer or </w:t>
      </w:r>
      <w:proofErr w:type="spellStart"/>
      <w:r w:rsidRPr="00025F59">
        <w:rPr>
          <w:rFonts w:ascii="Times New Roman" w:eastAsia="Times New Roman" w:hAnsi="Times New Roman" w:cs="Times New Roman"/>
          <w:sz w:val="27"/>
          <w:szCs w:val="27"/>
        </w:rPr>
        <w:t>specialsit</w:t>
      </w:r>
      <w:proofErr w:type="spellEnd"/>
      <w:r w:rsidRPr="00025F59">
        <w:rPr>
          <w:rFonts w:ascii="Times New Roman" w:eastAsia="Times New Roman" w:hAnsi="Times New Roman" w:cs="Times New Roman"/>
          <w:sz w:val="27"/>
          <w:szCs w:val="27"/>
        </w:rPr>
        <w:t xml:space="preserve"> with wither TESTBOOK (the LR diagnostic and </w:t>
      </w:r>
      <w:proofErr w:type="spellStart"/>
      <w:r w:rsidRPr="00025F59">
        <w:rPr>
          <w:rFonts w:ascii="Times New Roman" w:eastAsia="Times New Roman" w:hAnsi="Times New Roman" w:cs="Times New Roman"/>
          <w:sz w:val="27"/>
          <w:szCs w:val="27"/>
        </w:rPr>
        <w:t>prgramming</w:t>
      </w:r>
      <w:proofErr w:type="spellEnd"/>
      <w:r w:rsidRPr="00025F59">
        <w:rPr>
          <w:rFonts w:ascii="Times New Roman" w:eastAsia="Times New Roman" w:hAnsi="Times New Roman" w:cs="Times New Roman"/>
          <w:sz w:val="27"/>
          <w:szCs w:val="27"/>
        </w:rPr>
        <w:t xml:space="preserve"> </w:t>
      </w:r>
      <w:proofErr w:type="spellStart"/>
      <w:r w:rsidRPr="00025F59">
        <w:rPr>
          <w:rFonts w:ascii="Times New Roman" w:eastAsia="Times New Roman" w:hAnsi="Times New Roman" w:cs="Times New Roman"/>
          <w:sz w:val="27"/>
          <w:szCs w:val="27"/>
        </w:rPr>
        <w:t>serrvice</w:t>
      </w:r>
      <w:proofErr w:type="spellEnd"/>
      <w:r w:rsidRPr="00025F59">
        <w:rPr>
          <w:rFonts w:ascii="Times New Roman" w:eastAsia="Times New Roman" w:hAnsi="Times New Roman" w:cs="Times New Roman"/>
          <w:sz w:val="27"/>
          <w:szCs w:val="27"/>
        </w:rPr>
        <w:t xml:space="preserve"> unit) or </w:t>
      </w:r>
      <w:proofErr w:type="spellStart"/>
      <w:r w:rsidRPr="00025F59">
        <w:rPr>
          <w:rFonts w:ascii="Times New Roman" w:eastAsia="Times New Roman" w:hAnsi="Times New Roman" w:cs="Times New Roman"/>
          <w:sz w:val="27"/>
          <w:szCs w:val="27"/>
        </w:rPr>
        <w:t>Rovercom</w:t>
      </w:r>
      <w:proofErr w:type="spellEnd"/>
      <w:r w:rsidRPr="00025F59">
        <w:rPr>
          <w:rFonts w:ascii="Times New Roman" w:eastAsia="Times New Roman" w:hAnsi="Times New Roman" w:cs="Times New Roman"/>
          <w:sz w:val="27"/>
          <w:szCs w:val="27"/>
        </w:rPr>
        <w:t>, an aftermarket item that does the same thing.</w:t>
      </w:r>
      <w:r w:rsidRPr="00025F59">
        <w:rPr>
          <w:rFonts w:ascii="Times New Roman" w:eastAsia="Times New Roman" w:hAnsi="Times New Roman" w:cs="Times New Roman"/>
          <w:sz w:val="24"/>
          <w:szCs w:val="24"/>
        </w:rPr>
        <w:t xml:space="preserve"> </w:t>
      </w:r>
    </w:p>
    <w:p w:rsidR="00025F59" w:rsidRPr="00025F59" w:rsidRDefault="00025F59" w:rsidP="00025F59">
      <w:pPr>
        <w:spacing w:before="100" w:beforeAutospacing="1" w:after="100" w:afterAutospacing="1" w:line="240" w:lineRule="auto"/>
        <w:rPr>
          <w:rFonts w:ascii="Times New Roman" w:eastAsia="Times New Roman" w:hAnsi="Times New Roman" w:cs="Times New Roman"/>
          <w:sz w:val="24"/>
          <w:szCs w:val="24"/>
        </w:rPr>
      </w:pPr>
      <w:r w:rsidRPr="00025F59">
        <w:rPr>
          <w:rFonts w:ascii="Times New Roman" w:eastAsia="Times New Roman" w:hAnsi="Times New Roman" w:cs="Times New Roman"/>
          <w:sz w:val="27"/>
          <w:szCs w:val="27"/>
        </w:rPr>
        <w:t xml:space="preserve">Unlike </w:t>
      </w:r>
      <w:proofErr w:type="spellStart"/>
      <w:r w:rsidRPr="00025F59">
        <w:rPr>
          <w:rFonts w:ascii="Times New Roman" w:eastAsia="Times New Roman" w:hAnsi="Times New Roman" w:cs="Times New Roman"/>
          <w:sz w:val="27"/>
          <w:szCs w:val="27"/>
        </w:rPr>
        <w:t>othe</w:t>
      </w:r>
      <w:proofErr w:type="spellEnd"/>
      <w:r w:rsidRPr="00025F59">
        <w:rPr>
          <w:rFonts w:ascii="Times New Roman" w:eastAsia="Times New Roman" w:hAnsi="Times New Roman" w:cs="Times New Roman"/>
          <w:sz w:val="27"/>
          <w:szCs w:val="27"/>
        </w:rPr>
        <w:t xml:space="preserve"> LR units, the Morgan is </w:t>
      </w:r>
      <w:proofErr w:type="spellStart"/>
      <w:r w:rsidRPr="00025F59">
        <w:rPr>
          <w:rFonts w:ascii="Times New Roman" w:eastAsia="Times New Roman" w:hAnsi="Times New Roman" w:cs="Times New Roman"/>
          <w:sz w:val="27"/>
          <w:szCs w:val="27"/>
        </w:rPr>
        <w:t>reporgrammable</w:t>
      </w:r>
      <w:proofErr w:type="spellEnd"/>
      <w:r w:rsidRPr="00025F59">
        <w:rPr>
          <w:rFonts w:ascii="Times New Roman" w:eastAsia="Times New Roman" w:hAnsi="Times New Roman" w:cs="Times New Roman"/>
          <w:sz w:val="27"/>
          <w:szCs w:val="27"/>
        </w:rPr>
        <w:t xml:space="preserve"> and you will have to tell the experienced mechanic with the diagnostic unit mentioned to use the disk for "1997 Range Rover GEMS 4.0L UK Manual Type 1 ID 9660". Once re-programmed to that specification, the car should run perfectly again.</w:t>
      </w:r>
      <w:r w:rsidRPr="00025F59">
        <w:rPr>
          <w:rFonts w:ascii="Times New Roman" w:eastAsia="Times New Roman" w:hAnsi="Times New Roman" w:cs="Times New Roman"/>
          <w:sz w:val="24"/>
          <w:szCs w:val="24"/>
        </w:rPr>
        <w:t xml:space="preserve"> </w:t>
      </w:r>
      <w:r w:rsidRPr="00025F59">
        <w:rPr>
          <w:rFonts w:ascii="Times New Roman" w:eastAsia="Times New Roman" w:hAnsi="Times New Roman" w:cs="Times New Roman"/>
          <w:sz w:val="24"/>
          <w:szCs w:val="24"/>
        </w:rPr>
        <w:br/>
        <w:t xml:space="preserve">  </w:t>
      </w:r>
      <w:r w:rsidRPr="00025F59">
        <w:rPr>
          <w:rFonts w:ascii="Times New Roman" w:eastAsia="Times New Roman" w:hAnsi="Times New Roman" w:cs="Times New Roman"/>
          <w:sz w:val="24"/>
          <w:szCs w:val="24"/>
        </w:rPr>
        <w:br/>
        <w:t xml:space="preserve">  </w:t>
      </w:r>
      <w:r w:rsidRPr="00025F59">
        <w:rPr>
          <w:rFonts w:ascii="Times New Roman" w:eastAsia="Times New Roman" w:hAnsi="Times New Roman" w:cs="Times New Roman"/>
          <w:sz w:val="24"/>
          <w:szCs w:val="24"/>
        </w:rPr>
        <w:br/>
      </w:r>
      <w:bookmarkStart w:id="2" w:name="_GoBack"/>
    </w:p>
    <w:bookmarkEnd w:id="2"/>
    <w:p w:rsidR="00A316E0" w:rsidRDefault="00025F59"/>
    <w:sectPr w:rsidR="00A316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F59"/>
    <w:rsid w:val="00025F59"/>
    <w:rsid w:val="00A462C0"/>
    <w:rsid w:val="00B841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348BA3-DC83-4536-BC2B-11FACBD6F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121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omog.com/allmorgan/40differenc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1065</Words>
  <Characters>6073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2015-07-01T14:52:00Z</dcterms:created>
  <dcterms:modified xsi:type="dcterms:W3CDTF">2015-07-01T14:54:00Z</dcterms:modified>
</cp:coreProperties>
</file>